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DC2" w:rsidRPr="00746DC2" w:rsidRDefault="00746DC2" w:rsidP="00746DC2">
      <w:pPr>
        <w:spacing w:after="0" w:line="421" w:lineRule="atLeast"/>
        <w:outlineLvl w:val="1"/>
        <w:rPr>
          <w:rFonts w:ascii="&amp;quot" w:eastAsia="Times New Roman" w:hAnsi="&amp;quot" w:cs="Times New Roman"/>
          <w:b/>
          <w:bCs/>
          <w:color w:val="83D277"/>
          <w:sz w:val="35"/>
          <w:szCs w:val="35"/>
          <w:lang w:eastAsia="da-DK"/>
        </w:rPr>
      </w:pPr>
      <w:r w:rsidRPr="00746DC2">
        <w:rPr>
          <w:rFonts w:ascii="&amp;quot" w:eastAsia="Times New Roman" w:hAnsi="&amp;quot" w:cs="Times New Roman"/>
          <w:b/>
          <w:bCs/>
          <w:color w:val="83D277"/>
          <w:sz w:val="35"/>
          <w:szCs w:val="35"/>
          <w:lang w:eastAsia="da-DK"/>
        </w:rPr>
        <w:t>1943 deklarationer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Da den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indscannede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tekst sine steder kan være svær at læse, følger nedenfor en renskrevet udgave af selve indholdet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 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Arealbetegnelserne er: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A – Næbbet,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B – Yderste des af Næsset, tilhører Dragsholm kommune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C – matriklerne </w:t>
      </w:r>
      <w:proofErr w:type="gram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8ar,8as</w:t>
      </w:r>
      <w:proofErr w:type="gram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,8at,4fg,4gm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D- omkring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Engvej</w:t>
      </w:r>
      <w:proofErr w:type="spellEnd"/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E – det senere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Langagre</w:t>
      </w:r>
      <w:proofErr w:type="spellEnd"/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F – matrikel 8db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G, H1 og H2 hører ikke under GKSON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I – arealet o.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Næsgården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, siden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Næskrogen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etc.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K – senere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Digebakken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etc.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L, M, N, O, P grundene i ’skoven’ langs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Hyrehøjvej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(for flere detaljer om arealerne, se originalen)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 </w:t>
      </w:r>
    </w:p>
    <w:p w:rsidR="00746DC2" w:rsidRPr="00746DC2" w:rsidRDefault="00746DC2" w:rsidP="00746DC2">
      <w:pPr>
        <w:spacing w:after="0" w:line="225" w:lineRule="atLeast"/>
        <w:jc w:val="center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b/>
          <w:bCs/>
          <w:color w:val="000000"/>
          <w:sz w:val="19"/>
          <w:szCs w:val="19"/>
          <w:lang w:eastAsia="da-DK"/>
        </w:rPr>
        <w:t>Indhold af deklaration af 7. april 1943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I.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Den yderste del af Næsset, det såkaldte ”Næbbet”, på kortet betegnet med A og i marken afgrænset af et hegn, fredes, således at det skal henligge i sin nuværende tilstand. Der må navnlig ikke opføres boder, telte o.l. eller foretages beplantning.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Almenheden har ret til ophold og badning fra arealet, men dette må ikke benytte til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kampering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Almenheden har adgang – dog ikke med automobil eller motorcykle – ad den til arealet førende vej, dog at konsortiet har ret til at omlægge denne efter forhandling med Naturfredningsnævnet.</w:t>
      </w:r>
    </w:p>
    <w:p w:rsid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Så</w:t>
      </w:r>
      <w:r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</w:t>
      </w: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længe der drives landbrug på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Næsgården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må arealet benyttes til græsning af får.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II.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På det tilgrænsende areal B. må der anbringes en bebyggelse, der dog ikke må lægges nordligere end bebyggelsen på parcellen matr. nr.8 an, og som i øvrigt </w:t>
      </w:r>
      <w:proofErr w:type="gram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er underkaster</w:t>
      </w:r>
      <w:proofErr w:type="gram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Fredningsnævnets censur, jfr. nedenfor under VII.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 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III.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Areal C må ikke udstykkes i mere end 5 omtrent lige store grunde, jfr. nedenfor under VIII.</w:t>
      </w:r>
    </w:p>
    <w:p w:rsidR="00746DC2" w:rsidRPr="00746DC2" w:rsidRDefault="002E2300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Bygningerne </w:t>
      </w:r>
      <w:r w:rsidR="00746DC2"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skal lægges i arealets sydlige del og ikke mere end 28m fra skellet mod de allerede udstykkede grunde. Den nordlige halvdel af arealet må ikke beplantes.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Den over arealet førende vej forlægges langs skellet til de tidligere udstykkede grunde.</w:t>
      </w:r>
    </w:p>
    <w:p w:rsidR="00746DC2" w:rsidRPr="00746DC2" w:rsidRDefault="002E2300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  Til brug for almenhed</w:t>
      </w:r>
      <w:r w:rsidR="00746DC2"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en udlægges der en 2m bred sti fra ovennævnte vej til </w:t>
      </w:r>
      <w:proofErr w:type="spellStart"/>
      <w:r w:rsidR="00746DC2"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nordskræntens</w:t>
      </w:r>
      <w:proofErr w:type="spellEnd"/>
      <w:r w:rsidR="00746DC2"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nærhed og videre langs denne skrænt over B til arealet A.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 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IV.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Den nordvestlige del af arealet D. – på kortet betegnet som ”plateau” – der er lavtliggende ud mod havet, og som mod landsiden begrænses af en kratbevokset brink, må ikke bebygges eller yderligere beplantes, men skal henligge i sin nuværende tilstand med ret for almenheden til ophold og badning.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Den mellem matr. 8al og 8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ap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udlagte vej skal tjene som adgang for almenheden til Plateauet.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På brinken oven over plateauet må der ikke anbringes yderligere bygninger nærmere end 10m fra brinkens kant.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 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V.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Arealet F (marken over for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Næsgården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) må ikke bebygges eller beplantes med træer.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Med Fredningsnævnets samtykke kan der eventuelt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opfæres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en landbrugsbygning med tilhørende have.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 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VI: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Med hensyn til de på ejendommen liggende høje gælder følgende bestemmelser: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1.    Der udlægges en sti til afbenyttelse for almenheden til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Loenhøj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2.    I en afstand af 40m fra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Hyrehøjs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top må ingen bygning anbringes.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3.    I en afstand af 20m fra den nord for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Hyrehøj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liggende kuppel, må ingen bygning opføres.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lastRenderedPageBreak/>
        <w:t xml:space="preserve">4.   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Iøvrigt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skal placeringen af bygninger, der opføres i en afstand af 100m eller derunder fra de øvrige på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Næsgården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liggende kæmpehøje, godkendes af Fredningsnævnet. Herunder undtages dog arealet G.(Indersiden af næssets nordkyst – hører ikke ind under GKSON)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 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VII.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Ingen bygning på nogen del af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Næsgårdens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jorder må opføres, forinden bygningstegninger med angivelse af udvendige farver har været forelagt Naturfredningsnævnet og er godkendt af dette.</w:t>
      </w:r>
    </w:p>
    <w:p w:rsidR="00906180" w:rsidRDefault="00906180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Uden nævnets specielle tilladelse må ingen bygning have mere end 1 etage foruden kælder, hvis loft ikke må ligge mere end 1m over det omgivende terræn, dog at gavlværelser i tagetagen må indrettes, og der må på hver grund kun anbringes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eet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beboelseshus til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een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familie med udhus og garage.</w:t>
      </w:r>
    </w:p>
    <w:p w:rsidR="00906180" w:rsidRDefault="00906180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Bortset fra den del af ejendommen, der benyttes som landbrugsejendom, samt arealerne G, H1 og H2 må der ikke drives erhvervsvirksomhed af nogen art.</w:t>
      </w:r>
    </w:p>
    <w:p w:rsidR="00906180" w:rsidRDefault="00906180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Uanset foranstående må der på en fra arealet K til købmand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Voulund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solgt parcel indrettes en købmandsforretning. Denne forretnings bygning skal som andre bygninger godkendes af nævnet, og reklamering fra denne er underkastet nævnets censur.</w:t>
      </w:r>
    </w:p>
    <w:p w:rsidR="00906180" w:rsidRDefault="00906180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906180">
        <w:rPr>
          <w:rFonts w:ascii="&amp;quot" w:eastAsia="Times New Roman" w:hAnsi="&amp;quot" w:cs="Times New Roman"/>
          <w:color w:val="000000"/>
          <w:sz w:val="19"/>
          <w:szCs w:val="19"/>
          <w:highlight w:val="yellow"/>
          <w:lang w:eastAsia="da-DK"/>
        </w:rPr>
        <w:t>Som hegn må kun benyttes naturhegn eller hegnspæle med 1 glat tråd.</w:t>
      </w:r>
    </w:p>
    <w:p w:rsidR="00906180" w:rsidRDefault="00906180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Eventuel indhegning af de til almenhedens afbenyttelse udlagte stier må kun foretages efter aftale med nævnet.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I</w:t>
      </w:r>
      <w:r w:rsidR="002E2300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</w:t>
      </w: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øvrigt må der på arealerne ikke anbringes </w:t>
      </w:r>
      <w:r w:rsidR="00906180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noget, som efter Naturfrednings</w:t>
      </w: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nævnets skøn kan virke skæmmende, eller drives virksomhed som ved støj eller ilde lugt kan genere de omboende.</w:t>
      </w:r>
    </w:p>
    <w:p w:rsidR="00906180" w:rsidRDefault="00906180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Svinehold er ikke tilladt, </w:t>
      </w:r>
      <w:proofErr w:type="gram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undtagen</w:t>
      </w:r>
      <w:proofErr w:type="gram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</w:t>
      </w:r>
      <w:proofErr w:type="gram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for</w:t>
      </w:r>
      <w:r w:rsidR="002E2300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</w:t>
      </w: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så</w:t>
      </w:r>
      <w:r w:rsidR="002E2300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</w:t>
      </w: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vidt</w:t>
      </w:r>
      <w:proofErr w:type="gram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landbrugsejendommen angår.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Af hensyn til den almindelige sikkerhed må der ikke på ejendommen drives jagt eller overhovedet anvendes skydevåben. Dette gælder dog ikke den del af ejendommen, der henligger som landbrugsejendom,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sålænge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den benyttes som sådan.</w:t>
      </w:r>
    </w:p>
    <w:p w:rsidR="002E2300" w:rsidRDefault="002E2300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VIII.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 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Med hensyn til udstykningen gælder følgende bestemmelser: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1.    Areal B må ikke udstykkes yderligere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2.    Areal C må kun udstykkes i 5 omtrent lige store grunde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3.    Areal F må ikke udstykkes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4.    Arealerne G, H1 og H2 kan udstykkes i parce</w:t>
      </w:r>
      <w:r w:rsidR="00906180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ller på </w:t>
      </w:r>
      <w:proofErr w:type="spellStart"/>
      <w:r w:rsidR="00906180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ca</w:t>
      </w:r>
      <w:proofErr w:type="spellEnd"/>
      <w:r w:rsidR="00906180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, 2000 </w:t>
      </w:r>
      <w:proofErr w:type="spellStart"/>
      <w:r w:rsidR="00906180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kvadratalen</w:t>
      </w:r>
      <w:proofErr w:type="spellEnd"/>
      <w:r w:rsidR="00906180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som</w:t>
      </w: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mindstestørrelse</w:t>
      </w:r>
      <w:proofErr w:type="spellEnd"/>
    </w:p>
    <w:p w:rsidR="00906180" w:rsidRDefault="0098462D" w:rsidP="0098462D">
      <w:pPr>
        <w:tabs>
          <w:tab w:val="left" w:pos="284"/>
        </w:tabs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5. </w:t>
      </w:r>
      <w:r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ab/>
        <w:t>D</w:t>
      </w:r>
      <w:r w:rsidR="00746DC2"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en ikke fredede del af areal D samt arealerne E, I1, I2 </w:t>
      </w:r>
      <w:proofErr w:type="gramStart"/>
      <w:r w:rsidR="00746DC2"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K,L</w:t>
      </w:r>
      <w:proofErr w:type="gramEnd"/>
      <w:r w:rsidR="00746DC2"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,M,N,O og P må kun udstykkes i grunde på mindst ½ </w:t>
      </w:r>
      <w:proofErr w:type="spellStart"/>
      <w:r w:rsidR="00746DC2"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Td</w:t>
      </w:r>
      <w:proofErr w:type="spellEnd"/>
      <w:r w:rsidR="00746DC2"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land. </w:t>
      </w:r>
    </w:p>
    <w:p w:rsidR="00906180" w:rsidRDefault="00906180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Dog kan der af disse arealer sælges mindre parceller til de nuværende lodsejere langs kysten til sammenlægning af disses ejendomme, således at den herefter sammenlagte ejendom ikke senere må udstykkes.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 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Af areal K er solgt en enkelt parcel i mindre størrelse og af areal E er solgt 14 parceller af mindre størrelse.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Endelig er af areal M solgt en enkelt parcel af mindre størrelse.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Disse salg anerkendes.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I de tilfælde hvor der allerede er solgt flere sådanne mindre grunde til en enkelt køber, udstykkes de pågældende parceller som én parcel, og der indføres i skøder servitutbestemmelse om, at yderligere udstykning ikke vil finde sted.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Skulle salget af nogle af de her nævnte, mindre parceller blive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annuleret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, gælder hovedbestemmelsen om udstykning af grunde på mindst 7000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kvadratalen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Tilsvarende bestemmelser gælder for udlejning af arealet.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 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IX.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Påtaleretten med hensyn til de ved nærværende deklaration pålagte servitutter tilkommer Naturfredningsnævnet for Holbæk Amt, dog således at der ved siden heraf tilkommer grundejerforeningen påtaleret.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Forsåvidt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 angår afsnit VIII med undtagelse af bestemmelserne angående arealerne G, H1 og H2.</w:t>
      </w:r>
    </w:p>
    <w:p w:rsid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Deklarationen kan på Fredningsnævnets foranstaltning tinglyses på </w:t>
      </w:r>
      <w:proofErr w:type="spellStart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Næsgården</w:t>
      </w:r>
      <w:proofErr w:type="spellEnd"/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, og konsortier drager omsorg for, at dette kan ske uden anmærkning om pantegæld.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X.</w:t>
      </w:r>
    </w:p>
    <w:p w:rsid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Det er en forudsætning fra konsortiets side, at den af nogle grundejere anlagt</w:t>
      </w:r>
      <w:r w:rsidR="00906180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e retssag hæves, således at sa</w:t>
      </w: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 xml:space="preserve">gsomkostninger fra begge sider frafaldes, og at Naturfredningsnævnet overfor statsministeriet anbefaler, at byggelinjen ved strand på strækningen </w:t>
      </w: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lastRenderedPageBreak/>
        <w:t>fra Plateauet til skellet mellem E og F og på arealerne G og H1 omlægges, således at den lægges i en afstand af højst 50m fra den for græsvækst blottede strandbred, samt at arealerne indenfor byggelinjen ved skov frigives til bebyggelse i overensstemmelse med reglerne i Naturfredningslovens paragraf 25, dog således at et bælte på 10m ind mod skovkanten friholdes for bebyggelse.</w:t>
      </w: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746DC2" w:rsidRP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Bortset herfra har konsortiet påtaget sig fornævnte forpligtelser uden noget vederlag.</w:t>
      </w:r>
    </w:p>
    <w:p w:rsidR="00746DC2" w:rsidRDefault="00746DC2" w:rsidP="00746DC2">
      <w:pPr>
        <w:spacing w:after="0" w:line="225" w:lineRule="atLeast"/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</w:pPr>
    </w:p>
    <w:p w:rsidR="00F516CC" w:rsidRDefault="00746DC2" w:rsidP="00906180">
      <w:pPr>
        <w:spacing w:after="0" w:line="225" w:lineRule="atLeast"/>
      </w:pPr>
      <w:r w:rsidRPr="00746DC2">
        <w:rPr>
          <w:rFonts w:ascii="&amp;quot" w:eastAsia="Times New Roman" w:hAnsi="&amp;quot" w:cs="Times New Roman"/>
          <w:color w:val="000000"/>
          <w:sz w:val="19"/>
          <w:szCs w:val="19"/>
          <w:lang w:eastAsia="da-DK"/>
        </w:rPr>
        <w:t>Nykøbing Sj. Den 28. august 1942</w:t>
      </w:r>
    </w:p>
    <w:sectPr w:rsidR="00F516CC" w:rsidSect="00F516CC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&amp;quo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1304"/>
  <w:hyphenationZone w:val="425"/>
  <w:characterSpacingControl w:val="doNotCompress"/>
  <w:compat/>
  <w:rsids>
    <w:rsidRoot w:val="00746DC2"/>
    <w:rsid w:val="00184586"/>
    <w:rsid w:val="002E2300"/>
    <w:rsid w:val="00334305"/>
    <w:rsid w:val="00746DC2"/>
    <w:rsid w:val="00906180"/>
    <w:rsid w:val="0098462D"/>
    <w:rsid w:val="00F516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516CC"/>
  </w:style>
  <w:style w:type="paragraph" w:styleId="Overskrift2">
    <w:name w:val="heading 2"/>
    <w:basedOn w:val="Normal"/>
    <w:link w:val="Overskrift2Tegn"/>
    <w:uiPriority w:val="9"/>
    <w:qFormat/>
    <w:rsid w:val="00746DC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2Tegn">
    <w:name w:val="Overskrift 2 Tegn"/>
    <w:basedOn w:val="Standardskrifttypeiafsnit"/>
    <w:link w:val="Overskrift2"/>
    <w:uiPriority w:val="9"/>
    <w:rsid w:val="00746DC2"/>
    <w:rPr>
      <w:rFonts w:ascii="Times New Roman" w:eastAsia="Times New Roman" w:hAnsi="Times New Roman" w:cs="Times New Roman"/>
      <w:b/>
      <w:bCs/>
      <w:sz w:val="36"/>
      <w:szCs w:val="36"/>
      <w:lang w:eastAsia="da-DK"/>
    </w:rPr>
  </w:style>
  <w:style w:type="paragraph" w:customStyle="1" w:styleId="mobile-undersized-upper">
    <w:name w:val="mobile-undersized-upper"/>
    <w:basedOn w:val="Normal"/>
    <w:rsid w:val="00746D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701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198462">
          <w:marLeft w:val="0"/>
          <w:marRight w:val="-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285982">
              <w:marLeft w:val="501"/>
              <w:marRight w:val="0"/>
              <w:marTop w:val="413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969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97728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55660354">
          <w:marLeft w:val="0"/>
          <w:marRight w:val="-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1215844">
              <w:marLeft w:val="501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9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350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1019</Words>
  <Characters>6217</Characters>
  <Application>Microsoft Office Word</Application>
  <DocSecurity>0</DocSecurity>
  <Lines>51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Kaj rosager</dc:creator>
  <cp:lastModifiedBy>Kaj rosager</cp:lastModifiedBy>
  <cp:revision>4</cp:revision>
  <dcterms:created xsi:type="dcterms:W3CDTF">2019-06-04T20:08:00Z</dcterms:created>
  <dcterms:modified xsi:type="dcterms:W3CDTF">2019-06-10T09:28:00Z</dcterms:modified>
</cp:coreProperties>
</file>